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การขอหนังสือรับรองการเกิด ตามมาตรา 20/1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ผู้ร้อง หรือผู้ได้รับมอบอำนาจ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(ที่ผู้ร้องเกิด / ที่ผู้ร้องมีชื่อในทะเบียนบ้าน / ที่ผู้ร้องมีภูมิลำเนาอยู่ในปัจจุบัน)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หรือสำเนาทะเบียนประวัติ เช่น ท.ร.38 , ท.ร. 38/1 , ท.ร.38 ก หรือ ท.ร.38 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หลักฐานที่แสดงว่าเกิดในราชอาณาจักร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(เช่น หลักฐานลงบัญชีทหารกองเกิน , ใบสำคัญประจำถิ่นที่อยู่ หรือใบสำคัญประจำตัวคนต่างด้าว เป็นต้น)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การขอหนังสือรับรองการเกิด ตามมาตรา 20/1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ประกาศสำนักทะเบียนกลางเรื่องหลักเกณฑ์เงื่อนไขและวิธีการในการของหนังสือรับรองการเกิดตามมาตรา 20/1 แห่งพระราชบัญญัติการทะเบียนราษฎร พ.ศ. 2534 ซึ่งแก้ไขเพิ่มเติมโดยพระราชบัญญัติการทะเบียนราษฎร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การขอหนังสือรับรองการเกิด ตามมาตรา 20/1 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