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การแจ้งรื้อถอนอาคารตามมาตรา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ผูใดจะรื้อถอนอาคาร 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โดยไมยื่นคําขอรับใบอนุญาตจากเจาพนักงานทองถิ่น ก็ได โดยการแจ้งตอเจาพนักงานทองถิ่น ตามมาตรา 39ทวิ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 นับแต่วันที่ได้ออกใบรับแจ้งตามมาตรา 39ทวิ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หนังสือรับรองของวิศวกรผู้ออกแบบขั้นตอนและสิ่งป้องกันวัสดุหล่นในการ     รื้อถอนอาคาร (กรณีอาคารมีลักษณะ ขนาด อยู่ในประเภทวิชาชีพควบคุม)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