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59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  นางจารวี  ชิชัยยา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