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  กรณีมีคำสั่งศาลให้เป็นคนสาบสูญ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เมื่อมีคำสั่งศาลให้ผู้ใดเป็นคนสาบสูญ ให้เจ้าบ้านหรือบุคคลที่เกี่ยวข้องกับบุคคลสาบสูญยื่นคำร้องเพื่อจำหน่ายรายการบุคคลออกจากทะเบียนบ้าน</w:t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ตามมาตรา10 แห่ง พ.ร.บ. 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ตรวจสอบความถูกต้องหลักฐานของผู้ร้อง</w:t>
              <w:br/>
              <w:t xml:space="preserve">2. สอบสวนเจ้าบ้านหรือบุคคลที่เกี่ยวข้องกับบุคคลสาบสูญพร้อมตรวจสอบคำสั่งศาลให้เป็นบุคคลสาบสูญ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 </w:t>
              <w:br/>
              <w:t xml:space="preserve">   -จำหน่ายรายการบุคคลออกจากทะเบียนบ้าน</w:t>
              <w:br/>
              <w:t xml:space="preserve">กรณีไม่อนุญาต</w:t>
              <w:br/>
              <w:t xml:space="preserve">   - แจ้งเหตุที่ไม่อาจดำเนินการได้และแจ้งสิทธิในการอุทธรณ์คำสั่งภายใน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บัตรประจำตัวของผู้มอบอำนาจและผู้รับมอบอำนาจ (กรณีมอบอำนาจ)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บัตรประจำตัวของพยานบุคคล 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คำสั่งศาลให้เป็นบุคคลสาบสูญ (คดีถึงที่สุด)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คำสั่งศาลให้เป็นบุคคลสาบสูญ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 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  <w:br/>
        <w:t xml:space="preserve"/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  กรณีมีคำสั่งศาลให้เป็นคนสาบสูญ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กรณีมีคำสั่งศาลให้เป็นคนสาบสูญ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