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ผู้ร้อง ได้แก่ เจ้าของรายการหรือผู้มีส่วนได้เสียจะขอให้นายทะเบียน ตรวจ คัด หรือคัดและรับรองสำเนารายการเอกสารทะเบียนราษฎรซึ่งเป็นต้นฉบับ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สำนักทะเบียนจังหวัด หรือสำนักทะเบียนอำเภอ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(สำนักทะเบียนที่จัดทำทะเบียนราษฎรด้วยระบบคอมพิวเตอร์ แห่งใดแห่งหนึ่งก็ได้)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กรณีเจ้าของรายการหรือผู้มีส่วนได้เสียมาดำเนินการด้วยตนเอง)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(ผู้มอบหมาย พร้อมหนังสือมอบหมาย กรณีที่มีการมอบหมาย)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หลักฐานที่แสดงความเป็นผู้มีส่วนได้เสีย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  นางโชติรส  เกิดผล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