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กรณีคนที่ไม่มีสัญชาติไทยต่อมาได้รับสัญชาติไทยตามกฎหมาย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และบิดามารดา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เอกสารที่ทางราชกาารออกให้ซึ่งแสดงว่าเป็นคนสัญชาติไทย เช่น หนังสือสำคัญการแปลงสัญชาติ ประกาศกระทรวงมหาดไทย สำเนาคำสั่งศาล หรือคำพิพากษา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กรณีคนที่ไม่มีสัญชาติไทยต่อมาได้รับสัญชาติไทยตามกฎหมาย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กรณีคนที่ไม่มีสัญชาติไทยต่อมาได้รับสัญชาติไทยตามกฎหมาย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