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59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  นางจารวี  ชิชัยยาง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