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เด็กที่จะแจ้งเกิด ต้องมีอายุต่ำกว่า 18ปี</w:t>
        <w:br/>
        <w:t xml:space="preserve"/>
        <w:br/>
        <w:t xml:space="preserve">2. ผู้แจ้ง ได้แก่ 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 หรือผู้ที่ได้รับมอบหมาย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(แห่งท้องที่ที่หน่วยงานที่อุปการะหรือสงเคราะห์เด็กตั้งอยู่)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รวบรวมหลักฐาน  เสนอให้นายอำเภอแห่งท้องที่ พิจารณาอนุมัติ/ไม่อนุมัติ 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(ของสถานสงเคราะห์ หรือที่เรียกชื่ออื่น ซึ่งรับตัวเด็กที่รับแจ้งเกิดเอาไว้)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รูปถ่ายเด็ก 2 นิ้ว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หลักฐานอื่นที่เกี่ยวกับเด็ก หรือหลักฐานเอกสาร และวัตถุพยาน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(กรณีที่มอบหมายให้บุคคลอื่นเป็นผู้แจ้ง)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นางโชติรส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